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Flujo de caja: clave para la supervivencia empresarial y cómo cuidarlo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Mexico a 23 de mayo de 2022.- </w:t>
      </w:r>
      <w:r w:rsidDel="00000000" w:rsidR="00000000" w:rsidRPr="00000000">
        <w:rPr>
          <w:rtl w:val="0"/>
        </w:rPr>
        <w:t xml:space="preserve">El 38% de los emprendimientos que quiebran en la actualidad, lo hacen por falta de liquidez (</w:t>
      </w:r>
      <w:hyperlink r:id="rId6">
        <w:r w:rsidDel="00000000" w:rsidR="00000000" w:rsidRPr="00000000">
          <w:rPr>
            <w:color w:val="1155cc"/>
            <w:u w:val="single"/>
            <w:rtl w:val="0"/>
          </w:rPr>
          <w:t xml:space="preserve">CB Insights</w:t>
        </w:r>
      </w:hyperlink>
      <w:r w:rsidDel="00000000" w:rsidR="00000000" w:rsidRPr="00000000">
        <w:rPr>
          <w:rtl w:val="0"/>
        </w:rPr>
        <w:t xml:space="preserve">). Hoy en día, cuidar las finanzas de la compañía y mantener un flujo de caja saludable es fundamental si lo que se busca es crecimiento y solidez en la empresa.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i w:val="1"/>
        </w:rPr>
      </w:pPr>
      <w:r w:rsidDel="00000000" w:rsidR="00000000" w:rsidRPr="00000000">
        <w:rPr>
          <w:rtl w:val="0"/>
        </w:rPr>
        <w:t xml:space="preserve">Paulina Aguilar, Cofundadora y Directora de </w:t>
      </w:r>
      <w:hyperlink r:id="rId7">
        <w:r w:rsidDel="00000000" w:rsidR="00000000" w:rsidRPr="00000000">
          <w:rPr>
            <w:color w:val="1155cc"/>
            <w:u w:val="single"/>
            <w:rtl w:val="0"/>
          </w:rPr>
          <w:t xml:space="preserve">Mundi</w:t>
        </w:r>
      </w:hyperlink>
      <w:r w:rsidDel="00000000" w:rsidR="00000000" w:rsidRPr="00000000">
        <w:rPr>
          <w:rtl w:val="0"/>
        </w:rPr>
        <w:t xml:space="preserve"> </w:t>
      </w:r>
      <w:r w:rsidDel="00000000" w:rsidR="00000000" w:rsidRPr="00000000">
        <w:rPr>
          <w:rtl w:val="0"/>
        </w:rPr>
        <w:t xml:space="preserve">explica que “</w:t>
      </w:r>
      <w:r w:rsidDel="00000000" w:rsidR="00000000" w:rsidRPr="00000000">
        <w:rPr>
          <w:i w:val="1"/>
          <w:rtl w:val="0"/>
        </w:rPr>
        <w:t xml:space="preserve">el flujo de caja son las salidas y entradas netas de dinero que tiene una empresa o proyecto en un período determinado.</w:t>
      </w:r>
      <w:r w:rsidDel="00000000" w:rsidR="00000000" w:rsidRPr="00000000">
        <w:rPr>
          <w:i w:val="1"/>
          <w:rtl w:val="0"/>
        </w:rPr>
        <w:t xml:space="preserve"> Es decir, un flujo de caja saludable, significa liquidez para financiar proyectos y operaciones dentro de la organización”.</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Para las empresas exportadoras, cuidar lo anterior es una necesidad importante. En ocasiones, las fluctuaciones cambiarias pueden afectar la operación y el financiamiento de las empresas que exportan sus productos, y las compañías deben utilizar dinero originalmente destinado a otros fines para hacer frente a las potenciales pérdidas ocasionadas por los constantes cambios en las monedas internacionales.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Esto, desde luego, atenta directamente contra el flujo de caja y, en ocasiones, las empresas suelen acudir a la banca tradicional en búsqueda de soluciones que le permitan tener una planeación financiera adecuada ante los riesgos que implican las transacciones en divisas internacionales.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Sin embargo, en la banca tradicional este tipo de soluciones suelen venir acompañadas de altas tarifas de operación, costos poco transparentes, e incluso de comisiones para brokers, esa es la razón por la que </w:t>
      </w:r>
      <w:hyperlink r:id="rId8">
        <w:r w:rsidDel="00000000" w:rsidR="00000000" w:rsidRPr="00000000">
          <w:rPr>
            <w:color w:val="1155cc"/>
            <w:u w:val="single"/>
            <w:rtl w:val="0"/>
          </w:rPr>
          <w:t xml:space="preserve">Mundi </w:t>
        </w:r>
      </w:hyperlink>
      <w:r w:rsidDel="00000000" w:rsidR="00000000" w:rsidRPr="00000000">
        <w:rPr>
          <w:rtl w:val="0"/>
        </w:rPr>
        <w:t xml:space="preserve">ofrece una plataforma que permite a las empresas comprar y vender divisas en el momento y adquirir coberturas sobre sus tipos de cambio hasta por un año.</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b w:val="1"/>
          <w:sz w:val="24"/>
          <w:szCs w:val="24"/>
          <w:u w:val="none"/>
        </w:rPr>
      </w:pPr>
      <w:r w:rsidDel="00000000" w:rsidR="00000000" w:rsidRPr="00000000">
        <w:rPr>
          <w:b w:val="1"/>
          <w:sz w:val="24"/>
          <w:szCs w:val="24"/>
          <w:rtl w:val="0"/>
        </w:rPr>
        <w:t xml:space="preserve">¿Qué son las coberturas cambiarias?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Las coberturas cambiarias son productos financieros que permiten a las empresas controlar los tipos cambiarios, fijando una tasa específica durante un periodo determinado de tiempo. Este tipo de servicios financieros son ideales para que las empresas cuiden su flujo de efectivo y se mantengan en números positivos. Las coberturas cambiarias son herramientas que funcionan para todo tipo de empresas, sin importar que sea una Pyme dispuesta a participar en mercados internacionales, o una gran corporación que realiza de manera constante diversas transacciones en mercados internacionales.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i w:val="1"/>
          <w:rtl w:val="0"/>
        </w:rPr>
        <w:t xml:space="preserve">“Contar con coberturas cambiarias es fundamental para las empresas que transaccionan en diversas divisas, ya que les permite mantener una mayor planeación sobre sus flujos de efectivo, y de esta manera pueden conocer de forma exacta cuáles serán sus egresos e ingresos en monedas internacionales.”, </w:t>
      </w:r>
      <w:r w:rsidDel="00000000" w:rsidR="00000000" w:rsidRPr="00000000">
        <w:rPr>
          <w:rtl w:val="0"/>
        </w:rPr>
        <w:t xml:space="preserve">considera</w:t>
      </w:r>
      <w:r w:rsidDel="00000000" w:rsidR="00000000" w:rsidRPr="00000000">
        <w:rPr>
          <w:rtl w:val="0"/>
        </w:rPr>
        <w:t xml:space="preserve"> Paulina Aguilar, co-fundadora y directora de </w:t>
      </w:r>
      <w:r w:rsidDel="00000000" w:rsidR="00000000" w:rsidRPr="00000000">
        <w:rPr>
          <w:rtl w:val="0"/>
        </w:rPr>
        <w:t xml:space="preserve">Mundi</w:t>
      </w:r>
      <w:r w:rsidDel="00000000" w:rsidR="00000000" w:rsidRPr="00000000">
        <w:rPr>
          <w:rtl w:val="0"/>
        </w:rPr>
        <w:t xml:space="preserve"> en México.</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hyperlink r:id="rId9">
        <w:r w:rsidDel="00000000" w:rsidR="00000000" w:rsidRPr="00000000">
          <w:rPr>
            <w:color w:val="1155cc"/>
            <w:u w:val="single"/>
            <w:rtl w:val="0"/>
          </w:rPr>
          <w:t xml:space="preserve">Mundi</w:t>
        </w:r>
      </w:hyperlink>
      <w:r w:rsidDel="00000000" w:rsidR="00000000" w:rsidRPr="00000000">
        <w:rPr>
          <w:rtl w:val="0"/>
        </w:rPr>
        <w:t xml:space="preserve"> recomienda utilizar coberturas cambiarias que estén basadas en</w:t>
      </w:r>
      <w:r w:rsidDel="00000000" w:rsidR="00000000" w:rsidRPr="00000000">
        <w:rPr>
          <w:rtl w:val="0"/>
        </w:rPr>
        <w:t xml:space="preserve"> una plataforma digital, ya que esta característica las vuelve 100% transparentes y de rápido acceso, facilitando los procesos operativos en cualquier empresa.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En conclusión voltear hacia las coberturas cambiarias como solución para cuidar el flujo de caja es una decisión razonable y certera, derivada de la necesidad de cuidar este aspecto para evitar posibles afectaciones por las fluctuaciones en el mercado de divisas.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spacing w:line="240" w:lineRule="auto"/>
        <w:rPr>
          <w:b w:val="1"/>
          <w:sz w:val="18"/>
          <w:szCs w:val="18"/>
        </w:rPr>
      </w:pPr>
      <w:r w:rsidDel="00000000" w:rsidR="00000000" w:rsidRPr="00000000">
        <w:rPr>
          <w:b w:val="1"/>
          <w:sz w:val="18"/>
          <w:szCs w:val="18"/>
          <w:rtl w:val="0"/>
        </w:rPr>
        <w:t xml:space="preserve">Acerca de </w:t>
      </w:r>
      <w:hyperlink r:id="rId10">
        <w:r w:rsidDel="00000000" w:rsidR="00000000" w:rsidRPr="00000000">
          <w:rPr>
            <w:b w:val="1"/>
            <w:color w:val="1155cc"/>
            <w:sz w:val="18"/>
            <w:szCs w:val="18"/>
            <w:u w:val="single"/>
            <w:rtl w:val="0"/>
          </w:rPr>
          <w:t xml:space="preserve">Mundi</w:t>
        </w:r>
      </w:hyperlink>
      <w:r w:rsidDel="00000000" w:rsidR="00000000" w:rsidRPr="00000000">
        <w:rPr>
          <w:rtl w:val="0"/>
        </w:rPr>
      </w:r>
    </w:p>
    <w:p w:rsidR="00000000" w:rsidDel="00000000" w:rsidP="00000000" w:rsidRDefault="00000000" w:rsidRPr="00000000" w14:paraId="0000001A">
      <w:pPr>
        <w:spacing w:after="240" w:before="240" w:line="240" w:lineRule="auto"/>
        <w:jc w:val="both"/>
        <w:rPr>
          <w:sz w:val="18"/>
          <w:szCs w:val="18"/>
        </w:rPr>
      </w:pPr>
      <w:r w:rsidDel="00000000" w:rsidR="00000000" w:rsidRPr="00000000">
        <w:rPr>
          <w:sz w:val="18"/>
          <w:szCs w:val="18"/>
          <w:rtl w:val="0"/>
        </w:rPr>
        <w:t xml:space="preserve">Mundi  es una fintech surgida en 2020 con la misión de potenciar el comercio internacional aprovechando soluciones tecnológicas que permitan crear herramientas de pagos y financiamiento que las empresas necesitan para crecer y llegar a más mercados.</w:t>
      </w:r>
    </w:p>
    <w:p w:rsidR="00000000" w:rsidDel="00000000" w:rsidP="00000000" w:rsidRDefault="00000000" w:rsidRPr="00000000" w14:paraId="0000001B">
      <w:pPr>
        <w:spacing w:after="240" w:before="240" w:line="240" w:lineRule="auto"/>
        <w:jc w:val="both"/>
        <w:rPr>
          <w:b w:val="1"/>
          <w:sz w:val="18"/>
          <w:szCs w:val="18"/>
        </w:rPr>
      </w:pPr>
      <w:r w:rsidDel="00000000" w:rsidR="00000000" w:rsidRPr="00000000">
        <w:rPr>
          <w:sz w:val="18"/>
          <w:szCs w:val="18"/>
          <w:rtl w:val="0"/>
        </w:rPr>
        <w:t xml:space="preserve">Actualmente, la compañía cuenta con un portafolio de soluciones financieras digitales que facilitan los procesos de comercio exterior, permitiéndoles eficientar sus flujos de efectivo, contar con soluciones de pagos digitales y cobranza, de esta manera, </w:t>
      </w:r>
      <w:r w:rsidDel="00000000" w:rsidR="00000000" w:rsidRPr="00000000">
        <w:rPr>
          <w:b w:val="1"/>
          <w:sz w:val="18"/>
          <w:szCs w:val="18"/>
          <w:rtl w:val="0"/>
        </w:rPr>
        <w:t xml:space="preserve">Mundi está creando  la plataforma financiera para el financiamiento comercial de la era digital.</w:t>
      </w:r>
    </w:p>
    <w:p w:rsidR="00000000" w:rsidDel="00000000" w:rsidP="00000000" w:rsidRDefault="00000000" w:rsidRPr="00000000" w14:paraId="0000001C">
      <w:pPr>
        <w:spacing w:after="240" w:before="240" w:line="240" w:lineRule="auto"/>
        <w:jc w:val="both"/>
        <w:rPr>
          <w:sz w:val="18"/>
          <w:szCs w:val="18"/>
        </w:rPr>
      </w:pPr>
      <w:r w:rsidDel="00000000" w:rsidR="00000000" w:rsidRPr="00000000">
        <w:rPr>
          <w:sz w:val="18"/>
          <w:szCs w:val="18"/>
          <w:rtl w:val="0"/>
        </w:rPr>
        <w:t xml:space="preserve">Mundi cuenta con operaciones en México, y al mismo tiempo ofrece soluciones para que las empresas puedan aprovechar las rutas comerciales más importantes, poniendo un foco específico en América del Norte. En Mundi creemos que el comercio internacional es bueno para el mundo, y estamos eliminando barreras para ayudar a potenciarlo.</w:t>
      </w:r>
    </w:p>
    <w:p w:rsidR="00000000" w:rsidDel="00000000" w:rsidP="00000000" w:rsidRDefault="00000000" w:rsidRPr="00000000" w14:paraId="0000001D">
      <w:pPr>
        <w:spacing w:after="240" w:before="240" w:line="240" w:lineRule="auto"/>
        <w:jc w:val="both"/>
        <w:rPr>
          <w:sz w:val="18"/>
          <w:szCs w:val="18"/>
        </w:rPr>
      </w:pPr>
      <w:r w:rsidDel="00000000" w:rsidR="00000000" w:rsidRPr="00000000">
        <w:rPr>
          <w:sz w:val="18"/>
          <w:szCs w:val="18"/>
          <w:rtl w:val="0"/>
        </w:rPr>
        <w:t xml:space="preserve">Para mayor información sobre Mundi, haz </w:t>
      </w:r>
      <w:hyperlink r:id="rId11">
        <w:r w:rsidDel="00000000" w:rsidR="00000000" w:rsidRPr="00000000">
          <w:rPr>
            <w:color w:val="1155cc"/>
            <w:sz w:val="18"/>
            <w:szCs w:val="18"/>
            <w:u w:val="single"/>
            <w:rtl w:val="0"/>
          </w:rPr>
          <w:t xml:space="preserve">click aquí</w:t>
        </w:r>
      </w:hyperlink>
      <w:r w:rsidDel="00000000" w:rsidR="00000000" w:rsidRPr="00000000">
        <w:rPr>
          <w:sz w:val="18"/>
          <w:szCs w:val="18"/>
          <w:rtl w:val="0"/>
        </w:rPr>
        <w:t xml:space="preserve">.</w:t>
      </w:r>
    </w:p>
    <w:p w:rsidR="00000000" w:rsidDel="00000000" w:rsidP="00000000" w:rsidRDefault="00000000" w:rsidRPr="00000000" w14:paraId="0000001E">
      <w:pPr>
        <w:spacing w:after="240" w:before="240" w:line="240" w:lineRule="auto"/>
        <w:jc w:val="both"/>
        <w:rPr>
          <w:sz w:val="18"/>
          <w:szCs w:val="18"/>
        </w:rPr>
      </w:pPr>
      <w:r w:rsidDel="00000000" w:rsidR="00000000" w:rsidRPr="00000000">
        <w:rPr>
          <w:sz w:val="18"/>
          <w:szCs w:val="18"/>
          <w:rtl w:val="0"/>
        </w:rPr>
        <w:t xml:space="preserve">Si deseas conocer más sobre la oferta de Mundi para el mercado de divisas, haz click </w:t>
      </w:r>
      <w:hyperlink r:id="rId12">
        <w:r w:rsidDel="00000000" w:rsidR="00000000" w:rsidRPr="00000000">
          <w:rPr>
            <w:color w:val="1155cc"/>
            <w:sz w:val="18"/>
            <w:szCs w:val="18"/>
            <w:u w:val="single"/>
            <w:rtl w:val="0"/>
          </w:rPr>
          <w:t xml:space="preserve">aquí</w:t>
        </w:r>
      </w:hyperlink>
      <w:r w:rsidDel="00000000" w:rsidR="00000000" w:rsidRPr="00000000">
        <w:rPr>
          <w:rtl w:val="0"/>
        </w:rPr>
      </w:r>
    </w:p>
    <w:p w:rsidR="00000000" w:rsidDel="00000000" w:rsidP="00000000" w:rsidRDefault="00000000" w:rsidRPr="00000000" w14:paraId="0000001F">
      <w:pPr>
        <w:spacing w:after="240" w:before="240" w:line="240" w:lineRule="auto"/>
        <w:jc w:val="both"/>
        <w:rPr>
          <w:sz w:val="18"/>
          <w:szCs w:val="18"/>
        </w:rPr>
      </w:pPr>
      <w:r w:rsidDel="00000000" w:rsidR="00000000" w:rsidRPr="00000000">
        <w:rPr>
          <w:sz w:val="18"/>
          <w:szCs w:val="18"/>
          <w:rtl w:val="0"/>
        </w:rPr>
        <w:t xml:space="preserve">Si deseas descargar nuestro press kit, lo puedes hacer </w:t>
      </w:r>
      <w:hyperlink r:id="rId13">
        <w:r w:rsidDel="00000000" w:rsidR="00000000" w:rsidRPr="00000000">
          <w:rPr>
            <w:color w:val="1155cc"/>
            <w:sz w:val="18"/>
            <w:szCs w:val="18"/>
            <w:u w:val="single"/>
            <w:rtl w:val="0"/>
          </w:rPr>
          <w:t xml:space="preserve">aquí</w:t>
        </w:r>
      </w:hyperlink>
      <w:r w:rsidDel="00000000" w:rsidR="00000000" w:rsidRPr="00000000">
        <w:rPr>
          <w:sz w:val="18"/>
          <w:szCs w:val="18"/>
          <w:rtl w:val="0"/>
        </w:rPr>
        <w:t xml:space="preserve">.</w:t>
      </w:r>
    </w:p>
    <w:p w:rsidR="00000000" w:rsidDel="00000000" w:rsidP="00000000" w:rsidRDefault="00000000" w:rsidRPr="00000000" w14:paraId="00000020">
      <w:pPr>
        <w:jc w:val="both"/>
        <w:rPr>
          <w:sz w:val="18"/>
          <w:szCs w:val="18"/>
        </w:rPr>
      </w:pPr>
      <w:hyperlink r:id="rId14">
        <w:r w:rsidDel="00000000" w:rsidR="00000000" w:rsidRPr="00000000">
          <w:rPr>
            <w:color w:val="1155cc"/>
            <w:sz w:val="18"/>
            <w:szCs w:val="18"/>
            <w:u w:val="single"/>
          </w:rPr>
          <w:drawing>
            <wp:inline distB="114300" distT="114300" distL="114300" distR="114300">
              <wp:extent cx="381000" cy="381000"/>
              <wp:effectExtent b="0" l="0" r="0" t="0"/>
              <wp:docPr descr="linkedin" id="3" name="image2.png"/>
              <a:graphic>
                <a:graphicData uri="http://schemas.openxmlformats.org/drawingml/2006/picture">
                  <pic:pic>
                    <pic:nvPicPr>
                      <pic:cNvPr descr="linkedin" id="0" name="image2.png"/>
                      <pic:cNvPicPr preferRelativeResize="0"/>
                    </pic:nvPicPr>
                    <pic:blipFill>
                      <a:blip r:embed="rId15"/>
                      <a:srcRect b="0" l="0" r="0" t="0"/>
                      <a:stretch>
                        <a:fillRect/>
                      </a:stretch>
                    </pic:blipFill>
                    <pic:spPr>
                      <a:xfrm>
                        <a:off x="0" y="0"/>
                        <a:ext cx="381000" cy="381000"/>
                      </a:xfrm>
                      <a:prstGeom prst="rect"/>
                      <a:ln/>
                    </pic:spPr>
                  </pic:pic>
                </a:graphicData>
              </a:graphic>
            </wp:inline>
          </w:drawing>
        </w:r>
      </w:hyperlink>
      <w:hyperlink r:id="rId16">
        <w:r w:rsidDel="00000000" w:rsidR="00000000" w:rsidRPr="00000000">
          <w:rPr>
            <w:color w:val="1155cc"/>
            <w:sz w:val="18"/>
            <w:szCs w:val="18"/>
            <w:u w:val="single"/>
          </w:rPr>
          <w:drawing>
            <wp:inline distB="114300" distT="114300" distL="114300" distR="114300">
              <wp:extent cx="381000" cy="381000"/>
              <wp:effectExtent b="0" l="0" r="0" t="0"/>
              <wp:docPr descr="twitter" id="2" name="image1.png"/>
              <a:graphic>
                <a:graphicData uri="http://schemas.openxmlformats.org/drawingml/2006/picture">
                  <pic:pic>
                    <pic:nvPicPr>
                      <pic:cNvPr descr="twitter" id="0" name="image1.png"/>
                      <pic:cNvPicPr preferRelativeResize="0"/>
                    </pic:nvPicPr>
                    <pic:blipFill>
                      <a:blip r:embed="rId17"/>
                      <a:srcRect b="0" l="0" r="0" t="0"/>
                      <a:stretch>
                        <a:fillRect/>
                      </a:stretch>
                    </pic:blipFill>
                    <pic:spPr>
                      <a:xfrm>
                        <a:off x="0" y="0"/>
                        <a:ext cx="381000" cy="381000"/>
                      </a:xfrm>
                      <a:prstGeom prst="rect"/>
                      <a:ln/>
                    </pic:spPr>
                  </pic:pic>
                </a:graphicData>
              </a:graphic>
            </wp:inline>
          </w:drawing>
        </w:r>
      </w:hyperlink>
      <w:r w:rsidDel="00000000" w:rsidR="00000000" w:rsidRPr="00000000">
        <w:rPr>
          <w:sz w:val="18"/>
          <w:szCs w:val="18"/>
          <w:rtl w:val="0"/>
        </w:rPr>
        <w:t xml:space="preserve"> </w:t>
      </w:r>
      <w:hyperlink r:id="rId18">
        <w:r w:rsidDel="00000000" w:rsidR="00000000" w:rsidRPr="00000000">
          <w:rPr>
            <w:color w:val="1155cc"/>
            <w:sz w:val="18"/>
            <w:szCs w:val="18"/>
            <w:u w:val="single"/>
          </w:rPr>
          <w:drawing>
            <wp:inline distB="114300" distT="114300" distL="114300" distR="114300">
              <wp:extent cx="381000" cy="381000"/>
              <wp:effectExtent b="0" l="0" r="0" t="0"/>
              <wp:docPr descr="facebook" id="4" name="image4.png"/>
              <a:graphic>
                <a:graphicData uri="http://schemas.openxmlformats.org/drawingml/2006/picture">
                  <pic:pic>
                    <pic:nvPicPr>
                      <pic:cNvPr descr="facebook" id="0" name="image4.png"/>
                      <pic:cNvPicPr preferRelativeResize="0"/>
                    </pic:nvPicPr>
                    <pic:blipFill>
                      <a:blip r:embed="rId19"/>
                      <a:srcRect b="0" l="0" r="0" t="0"/>
                      <a:stretch>
                        <a:fillRect/>
                      </a:stretch>
                    </pic:blipFill>
                    <pic:spPr>
                      <a:xfrm>
                        <a:off x="0" y="0"/>
                        <a:ext cx="381000" cy="381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drawing>
        <wp:inline distB="114300" distT="114300" distL="114300" distR="114300">
          <wp:extent cx="2224088" cy="1283756"/>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224088" cy="12837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mundi.io?utm_source=pr&amp;utm_medium=pr&amp;utm_campaign=pr" TargetMode="External"/><Relationship Id="rId10" Type="http://schemas.openxmlformats.org/officeDocument/2006/relationships/hyperlink" Target="https://mundi.io?utm_source=pr&amp;utm_medium=pr&amp;utm_campaign=pr" TargetMode="External"/><Relationship Id="rId13" Type="http://schemas.openxmlformats.org/officeDocument/2006/relationships/hyperlink" Target="https://mundi.notion.site/Press-Kit-1df77c182d45437eac61f0d46b89e5a9#c84391c5912f468889c8baf60d53accf" TargetMode="External"/><Relationship Id="rId12" Type="http://schemas.openxmlformats.org/officeDocument/2006/relationships/hyperlink" Target="https://mundi.io/divisas/fore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ndi.io/divisas/forward?utm_source=pr&amp;utm_medium=pr&amp;utm_campaign=pr" TargetMode="External"/><Relationship Id="rId15" Type="http://schemas.openxmlformats.org/officeDocument/2006/relationships/image" Target="media/image2.png"/><Relationship Id="rId14" Type="http://schemas.openxmlformats.org/officeDocument/2006/relationships/hyperlink" Target="https://www.linkedin.com/company/munditrade/" TargetMode="External"/><Relationship Id="rId17" Type="http://schemas.openxmlformats.org/officeDocument/2006/relationships/image" Target="media/image1.png"/><Relationship Id="rId16" Type="http://schemas.openxmlformats.org/officeDocument/2006/relationships/hyperlink" Target="https://twitter.com/munditrade" TargetMode="External"/><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hyperlink" Target="https://www.cbinsights.com/research/startup-failure-reasons-top/" TargetMode="External"/><Relationship Id="rId18" Type="http://schemas.openxmlformats.org/officeDocument/2006/relationships/hyperlink" Target="https://www.facebook.com/MundiTrade/" TargetMode="External"/><Relationship Id="rId7" Type="http://schemas.openxmlformats.org/officeDocument/2006/relationships/hyperlink" Target="https://mundi.io/?utm_source=pr&amp;utm_medium=pr&amp;utm_campaign=pr" TargetMode="External"/><Relationship Id="rId8" Type="http://schemas.openxmlformats.org/officeDocument/2006/relationships/hyperlink" Target="https://mundi.io/divisas/forward?utm_source=pr&amp;utm_medium=pr&amp;utm_campaign=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